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4A" w:rsidRPr="00CD1A77" w:rsidRDefault="000C204A" w:rsidP="000C204A">
      <w:pPr>
        <w:pStyle w:val="APALevel0"/>
      </w:pPr>
      <w:r w:rsidRPr="00CD1A77">
        <w:t>References</w:t>
      </w:r>
    </w:p>
    <w:p w:rsidR="000C204A" w:rsidRPr="000D29C1" w:rsidRDefault="000C204A" w:rsidP="000C204A">
      <w:pPr>
        <w:pStyle w:val="apahang"/>
        <w:spacing w:before="0" w:after="0" w:line="480" w:lineRule="auto"/>
        <w:rPr>
          <w:szCs w:val="18"/>
        </w:rPr>
      </w:pPr>
      <w:proofErr w:type="spellStart"/>
      <w:proofErr w:type="gramStart"/>
      <w:r w:rsidRPr="00C01F93">
        <w:rPr>
          <w:szCs w:val="18"/>
        </w:rPr>
        <w:t>Adorno</w:t>
      </w:r>
      <w:proofErr w:type="spellEnd"/>
      <w:r w:rsidRPr="00C01F93">
        <w:rPr>
          <w:szCs w:val="18"/>
        </w:rPr>
        <w:t>, T. (2001).</w:t>
      </w:r>
      <w:proofErr w:type="gramEnd"/>
      <w:r w:rsidRPr="00C01F93">
        <w:rPr>
          <w:szCs w:val="18"/>
        </w:rPr>
        <w:t xml:space="preserve"> </w:t>
      </w:r>
      <w:proofErr w:type="gramStart"/>
      <w:r w:rsidRPr="00AC24A7">
        <w:rPr>
          <w:i/>
          <w:iCs/>
          <w:szCs w:val="18"/>
        </w:rPr>
        <w:t xml:space="preserve">Culture </w:t>
      </w:r>
      <w:r w:rsidRPr="000D29C1">
        <w:rPr>
          <w:i/>
          <w:iCs/>
          <w:szCs w:val="18"/>
        </w:rPr>
        <w:t>industry.</w:t>
      </w:r>
      <w:proofErr w:type="gramEnd"/>
      <w:r w:rsidRPr="000D29C1">
        <w:rPr>
          <w:szCs w:val="18"/>
        </w:rPr>
        <w:t xml:space="preserve"> New York: </w:t>
      </w:r>
      <w:proofErr w:type="spellStart"/>
      <w:r w:rsidRPr="000D29C1">
        <w:rPr>
          <w:szCs w:val="18"/>
        </w:rPr>
        <w:t>Routledge</w:t>
      </w:r>
      <w:proofErr w:type="spellEnd"/>
      <w:r w:rsidRPr="000D29C1">
        <w:rPr>
          <w:szCs w:val="18"/>
        </w:rPr>
        <w:t>.</w:t>
      </w:r>
    </w:p>
    <w:p w:rsidR="000C204A" w:rsidRPr="006C1F6A" w:rsidRDefault="000C204A" w:rsidP="000C204A">
      <w:pPr>
        <w:pStyle w:val="apahang"/>
        <w:spacing w:before="0" w:after="0" w:line="480" w:lineRule="auto"/>
        <w:rPr>
          <w:szCs w:val="18"/>
        </w:rPr>
      </w:pPr>
      <w:r w:rsidRPr="000D29C1">
        <w:rPr>
          <w:szCs w:val="18"/>
          <w:lang w:val="es-ES"/>
        </w:rPr>
        <w:t xml:space="preserve">Anaya-Prado, R., Toledo-Pereyra, L. H., &amp; Toledo, A. H. </w:t>
      </w:r>
      <w:r w:rsidRPr="007C7211">
        <w:rPr>
          <w:szCs w:val="18"/>
        </w:rPr>
        <w:t xml:space="preserve">(2006). </w:t>
      </w:r>
      <w:proofErr w:type="gramStart"/>
      <w:r w:rsidRPr="007C7211">
        <w:rPr>
          <w:szCs w:val="18"/>
        </w:rPr>
        <w:t>The s</w:t>
      </w:r>
      <w:r w:rsidRPr="00756914">
        <w:rPr>
          <w:szCs w:val="18"/>
        </w:rPr>
        <w:t xml:space="preserve">urgeon as a </w:t>
      </w:r>
      <w:r w:rsidRPr="00DD181C">
        <w:rPr>
          <w:szCs w:val="18"/>
        </w:rPr>
        <w:t>s</w:t>
      </w:r>
      <w:r w:rsidRPr="006C1F6A">
        <w:rPr>
          <w:szCs w:val="18"/>
        </w:rPr>
        <w:t>cientific writer.</w:t>
      </w:r>
      <w:proofErr w:type="gramEnd"/>
      <w:r w:rsidRPr="006C1F6A">
        <w:rPr>
          <w:szCs w:val="18"/>
        </w:rPr>
        <w:t xml:space="preserve"> </w:t>
      </w:r>
      <w:r w:rsidRPr="006C1F6A">
        <w:rPr>
          <w:i/>
          <w:iCs/>
          <w:szCs w:val="18"/>
        </w:rPr>
        <w:t xml:space="preserve">Journal of Investigative Surgery 19(6), </w:t>
      </w:r>
      <w:r w:rsidRPr="006C1F6A">
        <w:rPr>
          <w:szCs w:val="18"/>
        </w:rPr>
        <w:t>19335-19339.</w:t>
      </w:r>
      <w:r>
        <w:rPr>
          <w:szCs w:val="18"/>
        </w:rPr>
        <w:t xml:space="preserve"> </w:t>
      </w:r>
      <w:bookmarkStart w:id="0" w:name="_GoBack"/>
      <w:bookmarkEnd w:id="0"/>
      <w:proofErr w:type="gramStart"/>
      <w:r w:rsidRPr="00B2279E">
        <w:rPr>
          <w:szCs w:val="18"/>
        </w:rPr>
        <w:t>doi:</w:t>
      </w:r>
      <w:proofErr w:type="gramEnd"/>
      <w:r w:rsidRPr="00B2279E">
        <w:rPr>
          <w:szCs w:val="18"/>
        </w:rPr>
        <w:t>10.1080/08941930601025870</w:t>
      </w:r>
    </w:p>
    <w:p w:rsidR="000C204A" w:rsidRPr="0095394D" w:rsidRDefault="000C204A" w:rsidP="000C204A">
      <w:pPr>
        <w:pStyle w:val="apahang"/>
        <w:spacing w:before="0" w:after="0" w:line="480" w:lineRule="auto"/>
        <w:rPr>
          <w:szCs w:val="18"/>
        </w:rPr>
      </w:pPr>
      <w:r w:rsidRPr="0095394D">
        <w:rPr>
          <w:szCs w:val="18"/>
          <w:lang w:val="de-DE"/>
        </w:rPr>
        <w:t xml:space="preserve">Anderson, H., &amp; Bo Kaspersen, L. (Eds.). </w:t>
      </w:r>
      <w:proofErr w:type="gramStart"/>
      <w:r w:rsidRPr="0095394D">
        <w:rPr>
          <w:szCs w:val="18"/>
        </w:rPr>
        <w:t xml:space="preserve">(1996). </w:t>
      </w:r>
      <w:r w:rsidRPr="0095394D">
        <w:rPr>
          <w:i/>
          <w:iCs/>
          <w:szCs w:val="18"/>
        </w:rPr>
        <w:t>Classical and modern social theory.</w:t>
      </w:r>
      <w:proofErr w:type="gramEnd"/>
      <w:r w:rsidRPr="0095394D">
        <w:rPr>
          <w:szCs w:val="18"/>
        </w:rPr>
        <w:t xml:space="preserve"> </w:t>
      </w:r>
      <w:r w:rsidRPr="0095394D">
        <w:t>Malden, MA</w:t>
      </w:r>
      <w:r w:rsidRPr="0095394D">
        <w:rPr>
          <w:szCs w:val="18"/>
        </w:rPr>
        <w:t>: Blackwell Publishers, Inc.</w:t>
      </w:r>
    </w:p>
    <w:p w:rsidR="000C204A" w:rsidRPr="0095394D" w:rsidRDefault="000C204A" w:rsidP="000C204A">
      <w:pPr>
        <w:pStyle w:val="apahang"/>
        <w:spacing w:before="0" w:after="0" w:line="480" w:lineRule="auto"/>
        <w:rPr>
          <w:szCs w:val="18"/>
        </w:rPr>
      </w:pPr>
      <w:r w:rsidRPr="0095394D">
        <w:rPr>
          <w:szCs w:val="18"/>
          <w:lang w:val="de-DE"/>
        </w:rPr>
        <w:t xml:space="preserve">Auerbach, C., &amp; Silverstein, L. (2003). </w:t>
      </w:r>
      <w:r w:rsidRPr="0095394D">
        <w:rPr>
          <w:i/>
          <w:iCs/>
          <w:szCs w:val="18"/>
          <w:lang w:val="de-DE"/>
        </w:rPr>
        <w:t>Qualitative data.</w:t>
      </w:r>
      <w:r w:rsidRPr="0095394D">
        <w:rPr>
          <w:szCs w:val="18"/>
          <w:lang w:val="de-DE"/>
        </w:rPr>
        <w:t xml:space="preserve"> </w:t>
      </w:r>
      <w:r w:rsidRPr="0095394D">
        <w:rPr>
          <w:szCs w:val="18"/>
        </w:rPr>
        <w:t>New York: New York University Press.</w:t>
      </w:r>
    </w:p>
    <w:p w:rsidR="000C204A" w:rsidRPr="0095394D" w:rsidRDefault="000C204A" w:rsidP="000C204A">
      <w:pPr>
        <w:pStyle w:val="apahang"/>
        <w:spacing w:before="0" w:after="0" w:line="480" w:lineRule="auto"/>
        <w:rPr>
          <w:szCs w:val="18"/>
        </w:rPr>
      </w:pPr>
      <w:proofErr w:type="gramStart"/>
      <w:r w:rsidRPr="0095394D">
        <w:rPr>
          <w:szCs w:val="18"/>
        </w:rPr>
        <w:t>Bales, R. F. (1950).</w:t>
      </w:r>
      <w:proofErr w:type="gramEnd"/>
      <w:r w:rsidRPr="0095394D">
        <w:rPr>
          <w:szCs w:val="18"/>
        </w:rPr>
        <w:t xml:space="preserve"> </w:t>
      </w:r>
      <w:proofErr w:type="gramStart"/>
      <w:r w:rsidRPr="0095394D">
        <w:rPr>
          <w:szCs w:val="18"/>
        </w:rPr>
        <w:t>A set of categories for the analysis of small group interactions.</w:t>
      </w:r>
      <w:proofErr w:type="gramEnd"/>
      <w:r w:rsidRPr="0095394D">
        <w:rPr>
          <w:szCs w:val="18"/>
        </w:rPr>
        <w:t xml:space="preserve"> </w:t>
      </w:r>
      <w:r w:rsidRPr="0095394D">
        <w:rPr>
          <w:i/>
          <w:iCs/>
          <w:szCs w:val="18"/>
        </w:rPr>
        <w:t>American Sociological Association, 15</w:t>
      </w:r>
      <w:r w:rsidRPr="0095394D">
        <w:rPr>
          <w:szCs w:val="18"/>
        </w:rPr>
        <w:t>, 257-263.</w:t>
      </w:r>
      <w:r>
        <w:rPr>
          <w:szCs w:val="18"/>
        </w:rPr>
        <w:t xml:space="preserve"> </w:t>
      </w:r>
      <w:proofErr w:type="gramStart"/>
      <w:r w:rsidRPr="00B2279E">
        <w:rPr>
          <w:szCs w:val="18"/>
        </w:rPr>
        <w:t>doi:</w:t>
      </w:r>
      <w:proofErr w:type="gramEnd"/>
      <w:r w:rsidRPr="00B2279E">
        <w:rPr>
          <w:szCs w:val="18"/>
        </w:rPr>
        <w:t>10.2307/2086790</w:t>
      </w:r>
    </w:p>
    <w:p w:rsidR="000C204A" w:rsidRPr="0095394D" w:rsidRDefault="000C204A" w:rsidP="000C204A">
      <w:pPr>
        <w:pStyle w:val="apahang"/>
        <w:spacing w:before="0" w:after="0" w:line="480" w:lineRule="auto"/>
        <w:rPr>
          <w:szCs w:val="18"/>
        </w:rPr>
      </w:pPr>
      <w:r w:rsidRPr="0095394D">
        <w:rPr>
          <w:szCs w:val="18"/>
        </w:rPr>
        <w:t xml:space="preserve">Bertrand, Y. (1995). </w:t>
      </w:r>
      <w:r w:rsidRPr="0095394D">
        <w:rPr>
          <w:i/>
          <w:iCs/>
          <w:szCs w:val="18"/>
        </w:rPr>
        <w:t>Contemporary theories and practice in education.</w:t>
      </w:r>
      <w:r w:rsidRPr="0095394D">
        <w:rPr>
          <w:szCs w:val="18"/>
        </w:rPr>
        <w:t xml:space="preserve"> Madison, WI: Atwood Publishing.</w:t>
      </w:r>
    </w:p>
    <w:p w:rsidR="000C204A" w:rsidRPr="0095394D" w:rsidRDefault="000C204A" w:rsidP="000C204A">
      <w:pPr>
        <w:pStyle w:val="apahang"/>
        <w:spacing w:before="0" w:after="0" w:line="480" w:lineRule="auto"/>
        <w:rPr>
          <w:szCs w:val="18"/>
        </w:rPr>
      </w:pPr>
      <w:proofErr w:type="spellStart"/>
      <w:proofErr w:type="gramStart"/>
      <w:r w:rsidRPr="0095394D">
        <w:rPr>
          <w:szCs w:val="18"/>
        </w:rPr>
        <w:t>Biser</w:t>
      </w:r>
      <w:proofErr w:type="spellEnd"/>
      <w:r w:rsidRPr="0095394D">
        <w:rPr>
          <w:szCs w:val="18"/>
        </w:rPr>
        <w:t xml:space="preserve">, E., </w:t>
      </w:r>
      <w:proofErr w:type="spellStart"/>
      <w:r w:rsidRPr="0095394D">
        <w:rPr>
          <w:szCs w:val="18"/>
        </w:rPr>
        <w:t>Rubel</w:t>
      </w:r>
      <w:proofErr w:type="spellEnd"/>
      <w:r w:rsidRPr="0095394D">
        <w:rPr>
          <w:szCs w:val="18"/>
        </w:rPr>
        <w:t xml:space="preserve">, L., &amp; </w:t>
      </w:r>
      <w:proofErr w:type="spellStart"/>
      <w:r w:rsidRPr="0095394D">
        <w:rPr>
          <w:szCs w:val="18"/>
        </w:rPr>
        <w:t>Toscano</w:t>
      </w:r>
      <w:proofErr w:type="spellEnd"/>
      <w:r w:rsidRPr="0095394D">
        <w:rPr>
          <w:szCs w:val="18"/>
        </w:rPr>
        <w:t>, R. M. (2007).</w:t>
      </w:r>
      <w:proofErr w:type="gramEnd"/>
      <w:r w:rsidRPr="0095394D">
        <w:rPr>
          <w:szCs w:val="18"/>
        </w:rPr>
        <w:t xml:space="preserve"> Bending the rules: When deaf writers leave college. </w:t>
      </w:r>
      <w:r w:rsidRPr="0095394D">
        <w:rPr>
          <w:i/>
          <w:iCs/>
          <w:szCs w:val="18"/>
        </w:rPr>
        <w:t>American Annals of the Deaf, 152</w:t>
      </w:r>
      <w:r w:rsidRPr="0095394D">
        <w:rPr>
          <w:szCs w:val="18"/>
        </w:rPr>
        <w:t>(4), 361-367.</w:t>
      </w:r>
      <w:r>
        <w:rPr>
          <w:szCs w:val="18"/>
        </w:rPr>
        <w:t xml:space="preserve"> </w:t>
      </w:r>
      <w:r w:rsidRPr="00B2279E">
        <w:rPr>
          <w:szCs w:val="18"/>
        </w:rPr>
        <w:t>doi:10.1353/aad.2008.0000</w:t>
      </w:r>
    </w:p>
    <w:p w:rsidR="000C204A" w:rsidRPr="0095394D" w:rsidRDefault="000C204A" w:rsidP="000C204A">
      <w:pPr>
        <w:pStyle w:val="apahang"/>
        <w:spacing w:before="0" w:after="0" w:line="480" w:lineRule="auto"/>
        <w:rPr>
          <w:szCs w:val="18"/>
        </w:rPr>
      </w:pPr>
      <w:proofErr w:type="spellStart"/>
      <w:r w:rsidRPr="0095394D">
        <w:rPr>
          <w:szCs w:val="18"/>
        </w:rPr>
        <w:t>Bloland</w:t>
      </w:r>
      <w:proofErr w:type="spellEnd"/>
      <w:r w:rsidRPr="0095394D">
        <w:rPr>
          <w:szCs w:val="18"/>
        </w:rPr>
        <w:t>, H. (2005). Whatever happened to postmodernism in higher education</w:t>
      </w:r>
      <w:proofErr w:type="gramStart"/>
      <w:r w:rsidRPr="0095394D">
        <w:rPr>
          <w:szCs w:val="18"/>
        </w:rPr>
        <w:t>?:</w:t>
      </w:r>
      <w:proofErr w:type="gramEnd"/>
      <w:r w:rsidRPr="0095394D">
        <w:rPr>
          <w:szCs w:val="18"/>
        </w:rPr>
        <w:t xml:space="preserve"> No requiem in the new millennium. </w:t>
      </w:r>
      <w:r w:rsidRPr="0095394D">
        <w:rPr>
          <w:i/>
          <w:iCs/>
          <w:szCs w:val="18"/>
        </w:rPr>
        <w:t>Journal of Higher Education, 76</w:t>
      </w:r>
      <w:r w:rsidRPr="0095394D">
        <w:rPr>
          <w:szCs w:val="18"/>
        </w:rPr>
        <w:t>(2), 121-150.</w:t>
      </w:r>
      <w:r>
        <w:rPr>
          <w:szCs w:val="18"/>
        </w:rPr>
        <w:t xml:space="preserve"> </w:t>
      </w:r>
      <w:r w:rsidRPr="00B2279E">
        <w:rPr>
          <w:szCs w:val="18"/>
        </w:rPr>
        <w:t>doi:10.1353/jhe.2005.0010</w:t>
      </w:r>
    </w:p>
    <w:p w:rsidR="000C204A" w:rsidRPr="000D29C1" w:rsidRDefault="000C204A" w:rsidP="000C204A">
      <w:pPr>
        <w:pStyle w:val="apahang"/>
        <w:spacing w:before="0" w:after="0" w:line="480" w:lineRule="auto"/>
        <w:rPr>
          <w:szCs w:val="18"/>
        </w:rPr>
      </w:pPr>
      <w:r w:rsidRPr="00CD1A77">
        <w:rPr>
          <w:szCs w:val="18"/>
        </w:rPr>
        <w:t xml:space="preserve">Bok, D. (2004). </w:t>
      </w:r>
      <w:r w:rsidRPr="00FF5611">
        <w:rPr>
          <w:i/>
          <w:iCs/>
          <w:szCs w:val="18"/>
        </w:rPr>
        <w:t>Universities in the marketplace: The commercialization of h</w:t>
      </w:r>
      <w:r w:rsidRPr="00C01F93">
        <w:rPr>
          <w:i/>
          <w:iCs/>
          <w:szCs w:val="18"/>
        </w:rPr>
        <w:t xml:space="preserve">igher </w:t>
      </w:r>
      <w:r w:rsidRPr="00AC24A7">
        <w:rPr>
          <w:i/>
          <w:iCs/>
          <w:szCs w:val="18"/>
        </w:rPr>
        <w:t>e</w:t>
      </w:r>
      <w:r w:rsidRPr="000D29C1">
        <w:rPr>
          <w:i/>
          <w:iCs/>
          <w:szCs w:val="18"/>
        </w:rPr>
        <w:t>ducation.</w:t>
      </w:r>
      <w:r w:rsidRPr="000D29C1">
        <w:rPr>
          <w:szCs w:val="18"/>
        </w:rPr>
        <w:t xml:space="preserve"> Princeton, NJ: Princeton University Press.</w:t>
      </w:r>
    </w:p>
    <w:p w:rsidR="00325D12" w:rsidRDefault="00325D12"/>
    <w:sectPr w:rsidR="00325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4A"/>
    <w:rsid w:val="000C204A"/>
    <w:rsid w:val="0014176C"/>
    <w:rsid w:val="0032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C204A"/>
    <w:pPr>
      <w:autoSpaceDE w:val="0"/>
      <w:autoSpaceDN w:val="0"/>
      <w:adjustRightInd w:val="0"/>
      <w:snapToGrid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C204A"/>
    <w:rPr>
      <w:rFonts w:ascii="Times New Roman" w:eastAsia="Times New Roman" w:hAnsi="Times New Roman" w:cs="Times New Roman"/>
      <w:sz w:val="24"/>
      <w:szCs w:val="24"/>
    </w:rPr>
  </w:style>
  <w:style w:type="paragraph" w:customStyle="1" w:styleId="apahang">
    <w:name w:val="apahang"/>
    <w:basedOn w:val="Normal"/>
    <w:rsid w:val="000C204A"/>
    <w:pPr>
      <w:spacing w:before="60" w:after="60" w:line="480" w:lineRule="atLeast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ALevel0">
    <w:name w:val="APA Level 0"/>
    <w:rsid w:val="000C204A"/>
    <w:pPr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C204A"/>
    <w:pPr>
      <w:autoSpaceDE w:val="0"/>
      <w:autoSpaceDN w:val="0"/>
      <w:adjustRightInd w:val="0"/>
      <w:snapToGrid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C204A"/>
    <w:rPr>
      <w:rFonts w:ascii="Times New Roman" w:eastAsia="Times New Roman" w:hAnsi="Times New Roman" w:cs="Times New Roman"/>
      <w:sz w:val="24"/>
      <w:szCs w:val="24"/>
    </w:rPr>
  </w:style>
  <w:style w:type="paragraph" w:customStyle="1" w:styleId="apahang">
    <w:name w:val="apahang"/>
    <w:basedOn w:val="Normal"/>
    <w:rsid w:val="000C204A"/>
    <w:pPr>
      <w:spacing w:before="60" w:after="60" w:line="480" w:lineRule="atLeast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ALevel0">
    <w:name w:val="APA Level 0"/>
    <w:rsid w:val="000C204A"/>
    <w:pPr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qubix</dc:creator>
  <cp:lastModifiedBy>qubix</cp:lastModifiedBy>
  <cp:revision>1</cp:revision>
  <dcterms:created xsi:type="dcterms:W3CDTF">2013-08-14T01:34:00Z</dcterms:created>
  <dcterms:modified xsi:type="dcterms:W3CDTF">2013-08-14T01:35:00Z</dcterms:modified>
</cp:coreProperties>
</file>